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A89" w:rsidRPr="00361A89" w:rsidRDefault="00361A89" w:rsidP="00DE4CB0">
      <w:pPr>
        <w:spacing w:before="100" w:beforeAutospacing="1" w:after="100" w:afterAutospacing="1" w:line="480" w:lineRule="auto"/>
        <w:ind w:firstLine="720"/>
        <w:rPr>
          <w:rFonts w:ascii="Times New Roman" w:hAnsi="Times New Roman" w:cs="Times New Roman"/>
          <w:sz w:val="24"/>
          <w:szCs w:val="24"/>
        </w:rPr>
      </w:pPr>
    </w:p>
    <w:p w:rsidR="00361A89" w:rsidRPr="00361A89" w:rsidRDefault="00361A89" w:rsidP="00DE4CB0">
      <w:pPr>
        <w:spacing w:before="100" w:beforeAutospacing="1" w:after="100" w:afterAutospacing="1" w:line="480" w:lineRule="auto"/>
        <w:ind w:firstLine="720"/>
        <w:rPr>
          <w:rFonts w:ascii="Times New Roman" w:hAnsi="Times New Roman" w:cs="Times New Roman"/>
          <w:sz w:val="24"/>
          <w:szCs w:val="24"/>
        </w:rPr>
      </w:pPr>
    </w:p>
    <w:p w:rsidR="00361A89" w:rsidRPr="00361A89" w:rsidRDefault="00361A89" w:rsidP="00DE4CB0">
      <w:pPr>
        <w:spacing w:before="100" w:beforeAutospacing="1" w:after="100" w:afterAutospacing="1" w:line="480" w:lineRule="auto"/>
        <w:ind w:firstLine="720"/>
        <w:rPr>
          <w:rFonts w:ascii="Times New Roman" w:hAnsi="Times New Roman" w:cs="Times New Roman"/>
          <w:sz w:val="24"/>
          <w:szCs w:val="24"/>
        </w:rPr>
      </w:pPr>
    </w:p>
    <w:p w:rsidR="00361A89" w:rsidRPr="00361A89" w:rsidRDefault="00361A89" w:rsidP="00DE4CB0">
      <w:pPr>
        <w:spacing w:before="100" w:beforeAutospacing="1" w:after="100" w:afterAutospacing="1" w:line="480" w:lineRule="auto"/>
        <w:ind w:firstLine="720"/>
        <w:rPr>
          <w:rFonts w:ascii="Times New Roman" w:hAnsi="Times New Roman" w:cs="Times New Roman"/>
          <w:sz w:val="24"/>
          <w:szCs w:val="24"/>
        </w:rPr>
      </w:pPr>
    </w:p>
    <w:p w:rsidR="00361A89" w:rsidRPr="00361A89" w:rsidRDefault="00361A89" w:rsidP="00DE4CB0">
      <w:pPr>
        <w:spacing w:before="100" w:beforeAutospacing="1" w:after="100" w:afterAutospacing="1" w:line="480" w:lineRule="auto"/>
        <w:ind w:firstLine="720"/>
        <w:rPr>
          <w:rFonts w:ascii="Times New Roman" w:hAnsi="Times New Roman" w:cs="Times New Roman"/>
          <w:sz w:val="24"/>
          <w:szCs w:val="24"/>
        </w:rPr>
      </w:pPr>
    </w:p>
    <w:p w:rsidR="00361A89" w:rsidRPr="00361A89" w:rsidRDefault="00361A89" w:rsidP="00DE4CB0">
      <w:pPr>
        <w:spacing w:before="100" w:beforeAutospacing="1" w:after="100" w:afterAutospacing="1" w:line="480" w:lineRule="auto"/>
        <w:ind w:firstLine="720"/>
        <w:rPr>
          <w:rFonts w:ascii="Times New Roman" w:hAnsi="Times New Roman" w:cs="Times New Roman"/>
          <w:sz w:val="24"/>
          <w:szCs w:val="24"/>
        </w:rPr>
      </w:pPr>
    </w:p>
    <w:p w:rsidR="00361A89" w:rsidRPr="00361A89" w:rsidRDefault="00361A89" w:rsidP="00361A89">
      <w:pPr>
        <w:spacing w:before="100" w:beforeAutospacing="1" w:after="100" w:afterAutospacing="1" w:line="480" w:lineRule="auto"/>
        <w:ind w:firstLine="720"/>
        <w:jc w:val="center"/>
        <w:rPr>
          <w:rFonts w:ascii="Times New Roman" w:hAnsi="Times New Roman" w:cs="Times New Roman"/>
          <w:sz w:val="24"/>
          <w:szCs w:val="24"/>
        </w:rPr>
      </w:pPr>
      <w:r w:rsidRPr="00361A89">
        <w:rPr>
          <w:rFonts w:ascii="Times New Roman" w:hAnsi="Times New Roman" w:cs="Times New Roman"/>
          <w:sz w:val="24"/>
          <w:szCs w:val="24"/>
        </w:rPr>
        <w:t>Name</w:t>
      </w:r>
    </w:p>
    <w:p w:rsidR="00361A89" w:rsidRPr="00361A89" w:rsidRDefault="00361A89" w:rsidP="00361A89">
      <w:pPr>
        <w:spacing w:before="100" w:beforeAutospacing="1" w:after="100" w:afterAutospacing="1" w:line="480" w:lineRule="auto"/>
        <w:ind w:firstLine="720"/>
        <w:jc w:val="center"/>
        <w:rPr>
          <w:rFonts w:ascii="Times New Roman" w:hAnsi="Times New Roman" w:cs="Times New Roman"/>
          <w:sz w:val="24"/>
          <w:szCs w:val="24"/>
        </w:rPr>
      </w:pPr>
      <w:r w:rsidRPr="00361A89">
        <w:rPr>
          <w:rFonts w:ascii="Times New Roman" w:hAnsi="Times New Roman" w:cs="Times New Roman"/>
          <w:sz w:val="24"/>
          <w:szCs w:val="24"/>
        </w:rPr>
        <w:t>Institution</w:t>
      </w:r>
    </w:p>
    <w:p w:rsidR="00361A89" w:rsidRPr="00361A89" w:rsidRDefault="00361A89" w:rsidP="00361A89">
      <w:pPr>
        <w:spacing w:before="100" w:beforeAutospacing="1" w:after="100" w:afterAutospacing="1" w:line="480" w:lineRule="auto"/>
        <w:ind w:firstLine="720"/>
        <w:jc w:val="center"/>
        <w:rPr>
          <w:rFonts w:ascii="Times New Roman" w:hAnsi="Times New Roman" w:cs="Times New Roman"/>
          <w:sz w:val="24"/>
          <w:szCs w:val="24"/>
        </w:rPr>
      </w:pPr>
      <w:r w:rsidRPr="00361A89">
        <w:rPr>
          <w:rFonts w:ascii="Times New Roman" w:hAnsi="Times New Roman" w:cs="Times New Roman"/>
          <w:sz w:val="24"/>
          <w:szCs w:val="24"/>
        </w:rPr>
        <w:t>Date</w:t>
      </w:r>
    </w:p>
    <w:p w:rsidR="00361A89" w:rsidRPr="00361A89" w:rsidRDefault="00361A89" w:rsidP="00361A89">
      <w:pPr>
        <w:spacing w:before="100" w:beforeAutospacing="1" w:after="100" w:afterAutospacing="1" w:line="480" w:lineRule="auto"/>
        <w:ind w:firstLine="720"/>
        <w:jc w:val="center"/>
        <w:rPr>
          <w:rFonts w:ascii="Times New Roman" w:hAnsi="Times New Roman" w:cs="Times New Roman"/>
          <w:sz w:val="24"/>
          <w:szCs w:val="24"/>
        </w:rPr>
      </w:pPr>
      <w:r w:rsidRPr="00361A89">
        <w:rPr>
          <w:rFonts w:ascii="Times New Roman" w:hAnsi="Times New Roman" w:cs="Times New Roman"/>
          <w:sz w:val="24"/>
          <w:szCs w:val="24"/>
        </w:rPr>
        <w:t>Multi-Party</w:t>
      </w:r>
    </w:p>
    <w:p w:rsidR="00361A89" w:rsidRPr="00361A89" w:rsidRDefault="00361A89" w:rsidP="00361A89">
      <w:pPr>
        <w:spacing w:before="100" w:beforeAutospacing="1" w:after="100" w:afterAutospacing="1" w:line="480" w:lineRule="auto"/>
        <w:ind w:firstLine="720"/>
        <w:jc w:val="center"/>
        <w:rPr>
          <w:rFonts w:ascii="Times New Roman" w:hAnsi="Times New Roman" w:cs="Times New Roman"/>
          <w:sz w:val="24"/>
          <w:szCs w:val="24"/>
        </w:rPr>
      </w:pPr>
    </w:p>
    <w:p w:rsidR="00361A89" w:rsidRPr="00361A89" w:rsidRDefault="00361A89" w:rsidP="00361A89">
      <w:pPr>
        <w:spacing w:before="100" w:beforeAutospacing="1" w:after="100" w:afterAutospacing="1" w:line="480" w:lineRule="auto"/>
        <w:ind w:firstLine="720"/>
        <w:jc w:val="center"/>
        <w:rPr>
          <w:rFonts w:ascii="Times New Roman" w:hAnsi="Times New Roman" w:cs="Times New Roman"/>
          <w:sz w:val="24"/>
          <w:szCs w:val="24"/>
        </w:rPr>
      </w:pPr>
    </w:p>
    <w:p w:rsidR="00361A89" w:rsidRPr="00361A89" w:rsidRDefault="00361A89" w:rsidP="00361A89">
      <w:pPr>
        <w:spacing w:before="100" w:beforeAutospacing="1" w:after="100" w:afterAutospacing="1" w:line="480" w:lineRule="auto"/>
        <w:ind w:firstLine="720"/>
        <w:jc w:val="center"/>
        <w:rPr>
          <w:rFonts w:ascii="Times New Roman" w:hAnsi="Times New Roman" w:cs="Times New Roman"/>
          <w:sz w:val="24"/>
          <w:szCs w:val="24"/>
        </w:rPr>
      </w:pPr>
    </w:p>
    <w:p w:rsidR="00361A89" w:rsidRPr="00361A89" w:rsidRDefault="00361A89" w:rsidP="00361A89">
      <w:pPr>
        <w:spacing w:before="100" w:beforeAutospacing="1" w:after="100" w:afterAutospacing="1" w:line="480" w:lineRule="auto"/>
        <w:ind w:firstLine="720"/>
        <w:jc w:val="center"/>
        <w:rPr>
          <w:rFonts w:ascii="Times New Roman" w:hAnsi="Times New Roman" w:cs="Times New Roman"/>
          <w:sz w:val="24"/>
          <w:szCs w:val="24"/>
        </w:rPr>
      </w:pPr>
    </w:p>
    <w:p w:rsidR="00361A89" w:rsidRPr="00361A89" w:rsidRDefault="00361A89" w:rsidP="00361A89">
      <w:pPr>
        <w:spacing w:before="100" w:beforeAutospacing="1" w:after="100" w:afterAutospacing="1" w:line="480" w:lineRule="auto"/>
        <w:ind w:firstLine="720"/>
        <w:jc w:val="center"/>
        <w:rPr>
          <w:rFonts w:ascii="Times New Roman" w:hAnsi="Times New Roman" w:cs="Times New Roman"/>
          <w:sz w:val="24"/>
          <w:szCs w:val="24"/>
        </w:rPr>
      </w:pPr>
    </w:p>
    <w:p w:rsidR="00361A89" w:rsidRDefault="00361A89" w:rsidP="00361A89">
      <w:pPr>
        <w:spacing w:before="100" w:beforeAutospacing="1" w:after="100" w:afterAutospacing="1" w:line="480" w:lineRule="auto"/>
        <w:rPr>
          <w:rFonts w:ascii="Times New Roman" w:hAnsi="Times New Roman" w:cs="Times New Roman"/>
          <w:sz w:val="24"/>
          <w:szCs w:val="24"/>
        </w:rPr>
      </w:pPr>
    </w:p>
    <w:p w:rsidR="00361A89" w:rsidRPr="00361A89" w:rsidRDefault="00361A89" w:rsidP="00361A8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361A89">
        <w:rPr>
          <w:rFonts w:ascii="Times New Roman" w:hAnsi="Times New Roman" w:cs="Times New Roman"/>
          <w:sz w:val="24"/>
          <w:szCs w:val="24"/>
        </w:rPr>
        <w:t>When co-joining into agreements that are complex by many business partnerships today, there is often involvement partners in matters negotiation since the business partnerships are forged in the increasingly business milieu which is specialized today. There are a number of negotiations which are used in the business world. “These types of negotiations include two-party negotiation, coalition negotiation, and multi-party negotiations.” (</w:t>
      </w:r>
      <w:proofErr w:type="spellStart"/>
      <w:r w:rsidRPr="00361A89">
        <w:rPr>
          <w:rFonts w:ascii="Times New Roman" w:hAnsi="Times New Roman" w:cs="Times New Roman"/>
          <w:sz w:val="24"/>
          <w:szCs w:val="24"/>
        </w:rPr>
        <w:t>Lewicki</w:t>
      </w:r>
      <w:proofErr w:type="spellEnd"/>
      <w:r w:rsidRPr="00361A89">
        <w:rPr>
          <w:rFonts w:ascii="Times New Roman" w:hAnsi="Times New Roman" w:cs="Times New Roman"/>
          <w:sz w:val="24"/>
          <w:szCs w:val="24"/>
        </w:rPr>
        <w:t>, Barry, Saunders, 2014)</w:t>
      </w:r>
    </w:p>
    <w:p w:rsidR="00361A89" w:rsidRPr="00361A89" w:rsidRDefault="00361A89" w:rsidP="00361A89">
      <w:pPr>
        <w:spacing w:before="100" w:beforeAutospacing="1" w:after="100" w:afterAutospacing="1" w:line="480" w:lineRule="auto"/>
        <w:ind w:firstLine="720"/>
        <w:rPr>
          <w:rFonts w:ascii="Times New Roman" w:hAnsi="Times New Roman" w:cs="Times New Roman"/>
          <w:sz w:val="24"/>
          <w:szCs w:val="24"/>
        </w:rPr>
      </w:pPr>
      <w:r w:rsidRPr="00361A89">
        <w:rPr>
          <w:rFonts w:ascii="Times New Roman" w:hAnsi="Times New Roman" w:cs="Times New Roman"/>
          <w:sz w:val="24"/>
          <w:szCs w:val="24"/>
        </w:rPr>
        <w:t>A two-party negotiation is a negotiation whereby each party in their exchanges takes turns generally as there is proceeding along the way. In a two-party negotiation order and the process is easy to find since only two parties are involved. The agenda is easily determined and a smooth running is experienced in the negotiations. Managers see this type of negotiation is important for success. Principal-agent problems through the two-party negotiations can be prevented and solved once the two parties involved have gained trust among each other in agreement coming.  In the business world, a two-party negation may be whereby the seller wants to go after the price that is the best that he/she can obtain while the buyer wants to pay the price that is the lowest in order for the best bargain to be achieved. “The two parties face off with getting as much as the possible goal.” (</w:t>
      </w:r>
      <w:proofErr w:type="spellStart"/>
      <w:r w:rsidRPr="00361A89">
        <w:rPr>
          <w:rFonts w:ascii="Times New Roman" w:hAnsi="Times New Roman" w:cs="Times New Roman"/>
          <w:sz w:val="24"/>
          <w:szCs w:val="24"/>
        </w:rPr>
        <w:t>Lewicki</w:t>
      </w:r>
      <w:proofErr w:type="spellEnd"/>
      <w:r w:rsidRPr="00361A89">
        <w:rPr>
          <w:rFonts w:ascii="Times New Roman" w:hAnsi="Times New Roman" w:cs="Times New Roman"/>
          <w:sz w:val="24"/>
          <w:szCs w:val="24"/>
        </w:rPr>
        <w:t>, Saunders, Barry, 2015)</w:t>
      </w:r>
    </w:p>
    <w:p w:rsidR="00361A89" w:rsidRPr="00361A89" w:rsidRDefault="00361A89" w:rsidP="00610A96">
      <w:pPr>
        <w:spacing w:before="100" w:beforeAutospacing="1" w:after="100" w:afterAutospacing="1" w:line="480" w:lineRule="auto"/>
        <w:ind w:firstLine="720"/>
        <w:rPr>
          <w:rFonts w:ascii="Times New Roman" w:hAnsi="Times New Roman" w:cs="Times New Roman"/>
          <w:sz w:val="24"/>
          <w:szCs w:val="24"/>
        </w:rPr>
      </w:pPr>
      <w:r w:rsidRPr="00361A89">
        <w:rPr>
          <w:rFonts w:ascii="Times New Roman" w:hAnsi="Times New Roman" w:cs="Times New Roman"/>
          <w:sz w:val="24"/>
          <w:szCs w:val="24"/>
        </w:rPr>
        <w:t xml:space="preserve">Coalition negotiations is a union that is temporary between individuals or groups that are two or more for an aim or goal that is common. They are more common when through collaboration negotiators stand to gain more than through competing. In order to gain an advantage in the negotiation, in the multi-party negotiations, this common practice is utilized. Coalition’s negotiations may be faced by challenges optimal coalition size and temptation and trust in coalitions. Coalition negotiations can be effectively maximized in ways such as early </w:t>
      </w:r>
      <w:r w:rsidRPr="00361A89">
        <w:rPr>
          <w:rFonts w:ascii="Times New Roman" w:hAnsi="Times New Roman" w:cs="Times New Roman"/>
          <w:sz w:val="24"/>
          <w:szCs w:val="24"/>
        </w:rPr>
        <w:lastRenderedPageBreak/>
        <w:t xml:space="preserve">contact making and sharing all information that is relevant. A real example of how this negotiation is used is labor unions which are the most obvious.  A company may threaten to hire someone else when it negotiates individually with an employee in the face </w:t>
      </w:r>
      <w:proofErr w:type="spellStart"/>
      <w:r w:rsidRPr="00361A89">
        <w:rPr>
          <w:rFonts w:ascii="Times New Roman" w:hAnsi="Times New Roman" w:cs="Times New Roman"/>
          <w:sz w:val="24"/>
          <w:szCs w:val="24"/>
        </w:rPr>
        <w:t>o</w:t>
      </w:r>
      <w:proofErr w:type="spellEnd"/>
      <w:r w:rsidRPr="00361A89">
        <w:rPr>
          <w:rFonts w:ascii="Times New Roman" w:hAnsi="Times New Roman" w:cs="Times New Roman"/>
          <w:sz w:val="24"/>
          <w:szCs w:val="24"/>
        </w:rPr>
        <w:t xml:space="preserve"> the demands of the employee.</w:t>
      </w:r>
    </w:p>
    <w:p w:rsidR="00361A89" w:rsidRPr="00361A89" w:rsidRDefault="00361A89" w:rsidP="00610A96">
      <w:pPr>
        <w:spacing w:before="100" w:beforeAutospacing="1" w:after="100" w:afterAutospacing="1" w:line="480" w:lineRule="auto"/>
        <w:ind w:firstLine="720"/>
        <w:rPr>
          <w:rFonts w:ascii="Times New Roman" w:hAnsi="Times New Roman" w:cs="Times New Roman"/>
          <w:sz w:val="24"/>
          <w:szCs w:val="24"/>
        </w:rPr>
      </w:pPr>
      <w:r w:rsidRPr="00361A89">
        <w:rPr>
          <w:rFonts w:ascii="Times New Roman" w:hAnsi="Times New Roman" w:cs="Times New Roman"/>
          <w:sz w:val="24"/>
          <w:szCs w:val="24"/>
        </w:rPr>
        <w:t xml:space="preserve">Multi-party negotiations refer to negotiations that involve negotiating parties that are more than two in a negotiation. A variety of agendas are dealt with during multiparty negotiations </w:t>
      </w:r>
      <w:r w:rsidR="000257B0">
        <w:rPr>
          <w:rFonts w:ascii="Times New Roman" w:hAnsi="Times New Roman" w:cs="Times New Roman"/>
          <w:sz w:val="24"/>
          <w:szCs w:val="24"/>
        </w:rPr>
        <w:t>and there is challenging of negotiators in individual objectives achieving since there is striving while there is issues facing</w:t>
      </w:r>
      <w:r w:rsidRPr="00361A89">
        <w:rPr>
          <w:rFonts w:ascii="Times New Roman" w:hAnsi="Times New Roman" w:cs="Times New Roman"/>
          <w:sz w:val="24"/>
          <w:szCs w:val="24"/>
        </w:rPr>
        <w:t xml:space="preserve"> that are pressing such as maintaining a unified direction and staying cohesive. Finding an effective agreement is mainly the focus, a vision that is common and satisfies their needs to the constituents the participants represent and the participants too. There are challenges and complexities in multiparty negotiations. “In the business world, multi-party negotiations example are intergroup relationships, coalitions, agencies and many others while conducting businesses.” (</w:t>
      </w:r>
      <w:proofErr w:type="spellStart"/>
      <w:r w:rsidRPr="00361A89">
        <w:rPr>
          <w:rFonts w:ascii="Times New Roman" w:hAnsi="Times New Roman" w:cs="Times New Roman"/>
          <w:sz w:val="24"/>
          <w:szCs w:val="24"/>
        </w:rPr>
        <w:t>Lewicki</w:t>
      </w:r>
      <w:proofErr w:type="spellEnd"/>
      <w:r w:rsidRPr="00361A89">
        <w:rPr>
          <w:rFonts w:ascii="Times New Roman" w:hAnsi="Times New Roman" w:cs="Times New Roman"/>
          <w:sz w:val="24"/>
          <w:szCs w:val="24"/>
        </w:rPr>
        <w:t>, Barry, Saunders, 2014)</w:t>
      </w:r>
    </w:p>
    <w:p w:rsidR="00361A89" w:rsidRPr="00361A89" w:rsidRDefault="00361A89" w:rsidP="00610A96">
      <w:pPr>
        <w:spacing w:before="100" w:beforeAutospacing="1" w:after="100" w:afterAutospacing="1" w:line="480" w:lineRule="auto"/>
        <w:ind w:firstLine="720"/>
        <w:rPr>
          <w:rFonts w:ascii="Times New Roman" w:hAnsi="Times New Roman" w:cs="Times New Roman"/>
          <w:sz w:val="24"/>
          <w:szCs w:val="24"/>
        </w:rPr>
      </w:pPr>
      <w:r w:rsidRPr="00361A89">
        <w:rPr>
          <w:rFonts w:ascii="Times New Roman" w:hAnsi="Times New Roman" w:cs="Times New Roman"/>
          <w:sz w:val="24"/>
          <w:szCs w:val="24"/>
        </w:rPr>
        <w:t>The space shuttle explosion challenge is a clear indication of how increasing technology complexity brings with system failure of a distinct kind. The social complexities are that there was poor decision making in that NASA had no experience since it launched the shuttle in cold temperatures and this made the O-rings seal not to perform adequa</w:t>
      </w:r>
      <w:r w:rsidR="000257B0">
        <w:rPr>
          <w:rFonts w:ascii="Times New Roman" w:hAnsi="Times New Roman" w:cs="Times New Roman"/>
          <w:sz w:val="24"/>
          <w:szCs w:val="24"/>
        </w:rPr>
        <w:t>tely in the boosters that were solid-rocket</w:t>
      </w:r>
      <w:r w:rsidRPr="00361A89">
        <w:rPr>
          <w:rFonts w:ascii="Times New Roman" w:hAnsi="Times New Roman" w:cs="Times New Roman"/>
          <w:sz w:val="24"/>
          <w:szCs w:val="24"/>
        </w:rPr>
        <w:t xml:space="preserve">. </w:t>
      </w:r>
      <w:r w:rsidR="000257B0">
        <w:rPr>
          <w:rFonts w:ascii="Times New Roman" w:hAnsi="Times New Roman" w:cs="Times New Roman"/>
          <w:sz w:val="24"/>
          <w:szCs w:val="24"/>
        </w:rPr>
        <w:t xml:space="preserve">In the extreme cold, O-rings were not tested .As there was ascending of the shuttle there was opening enough on a booster rocket by one of the seals and there was leaking out of a plume of exhaust </w:t>
      </w:r>
      <w:r w:rsidRPr="00361A89">
        <w:rPr>
          <w:rFonts w:ascii="Times New Roman" w:hAnsi="Times New Roman" w:cs="Times New Roman"/>
          <w:sz w:val="24"/>
          <w:szCs w:val="24"/>
        </w:rPr>
        <w:t>. “</w:t>
      </w:r>
      <w:r w:rsidR="0078291F">
        <w:rPr>
          <w:rFonts w:ascii="Times New Roman" w:hAnsi="Times New Roman" w:cs="Times New Roman"/>
          <w:sz w:val="24"/>
          <w:szCs w:val="24"/>
        </w:rPr>
        <w:t>When hot gases made the tank to rupture through bathing the hull of the tank full of liquid hydrogen and oxygen was cold</w:t>
      </w:r>
      <w:r w:rsidRPr="00361A89">
        <w:rPr>
          <w:rFonts w:ascii="Times New Roman" w:hAnsi="Times New Roman" w:cs="Times New Roman"/>
          <w:sz w:val="24"/>
          <w:szCs w:val="24"/>
        </w:rPr>
        <w:t>.” (</w:t>
      </w:r>
      <w:proofErr w:type="spellStart"/>
      <w:r w:rsidRPr="00361A89">
        <w:rPr>
          <w:rFonts w:ascii="Times New Roman" w:hAnsi="Times New Roman" w:cs="Times New Roman"/>
          <w:sz w:val="24"/>
          <w:szCs w:val="24"/>
        </w:rPr>
        <w:t>Lewicki</w:t>
      </w:r>
      <w:proofErr w:type="spellEnd"/>
      <w:r w:rsidRPr="00361A89">
        <w:rPr>
          <w:rFonts w:ascii="Times New Roman" w:hAnsi="Times New Roman" w:cs="Times New Roman"/>
          <w:sz w:val="24"/>
          <w:szCs w:val="24"/>
        </w:rPr>
        <w:t>, 2015)</w:t>
      </w:r>
    </w:p>
    <w:p w:rsidR="00361A89" w:rsidRPr="00361A89" w:rsidRDefault="00361A89" w:rsidP="00361A89">
      <w:pPr>
        <w:spacing w:before="100" w:beforeAutospacing="1" w:after="100" w:afterAutospacing="1" w:line="480" w:lineRule="auto"/>
        <w:rPr>
          <w:rFonts w:ascii="Times New Roman" w:hAnsi="Times New Roman" w:cs="Times New Roman"/>
          <w:sz w:val="24"/>
          <w:szCs w:val="24"/>
        </w:rPr>
      </w:pPr>
      <w:r w:rsidRPr="00361A89">
        <w:rPr>
          <w:rFonts w:ascii="Times New Roman" w:hAnsi="Times New Roman" w:cs="Times New Roman"/>
          <w:sz w:val="24"/>
          <w:szCs w:val="24"/>
        </w:rPr>
        <w:lastRenderedPageBreak/>
        <w:t xml:space="preserve">Groupthink is the practice of making decisions as a group which results typically in unchallenged decision making which is of poor quality. Lack of communication was what was found to affect the space shuttle explosion challenger. This </w:t>
      </w:r>
      <w:bookmarkStart w:id="0" w:name="_GoBack"/>
      <w:bookmarkEnd w:id="0"/>
      <w:r w:rsidRPr="00361A89">
        <w:rPr>
          <w:rFonts w:ascii="Times New Roman" w:hAnsi="Times New Roman" w:cs="Times New Roman"/>
          <w:sz w:val="24"/>
          <w:szCs w:val="24"/>
        </w:rPr>
        <w:t>was after interview of engineers and decision makers at both Morton Thiokol (The solid rocket boosters building company) and NASA by the Rodgers commission. S stunning lack of communication was what found by Rodgers Commission as if there had been a game by officials of broken telephone and this led to misleading and incomplete information reaching top echelons of NASA. The concerns about the O-rings were among that information that was ill-translated. From all the flight-readiness documents, the issue was absent completely. Moreover before launch during a teleconference O-rings concerns by Thiokol engineers were told to NASA management. An additional ice concern was raised when overnight temperatures were set to drop to 20 degrees.  The launch structure was covered in foot-long icicles through an early morning inspection confirmation. If they broke off and became sharp debris, no one knew what would happen. The risks were considered appropriate for launch. If concerns about O-rings reached the right people; the seven lives could have been saved. A serious flaw in the decision-making process leading up to the launch was what the commission ultimately judged to be the root cause of the accident (</w:t>
      </w:r>
      <w:proofErr w:type="spellStart"/>
      <w:r w:rsidRPr="00361A89">
        <w:rPr>
          <w:rFonts w:ascii="Times New Roman" w:hAnsi="Times New Roman" w:cs="Times New Roman"/>
          <w:sz w:val="24"/>
          <w:szCs w:val="24"/>
        </w:rPr>
        <w:t>Lewicki</w:t>
      </w:r>
      <w:proofErr w:type="spellEnd"/>
      <w:r w:rsidRPr="00361A89">
        <w:rPr>
          <w:rFonts w:ascii="Times New Roman" w:hAnsi="Times New Roman" w:cs="Times New Roman"/>
          <w:sz w:val="24"/>
          <w:szCs w:val="24"/>
        </w:rPr>
        <w:t>, 2015)</w:t>
      </w:r>
    </w:p>
    <w:p w:rsidR="00361A89" w:rsidRPr="00361A89" w:rsidRDefault="00361A89" w:rsidP="00610A96">
      <w:pPr>
        <w:spacing w:before="100" w:beforeAutospacing="1" w:after="100" w:afterAutospacing="1" w:line="480" w:lineRule="auto"/>
        <w:ind w:firstLine="720"/>
        <w:rPr>
          <w:rFonts w:ascii="Times New Roman" w:hAnsi="Times New Roman" w:cs="Times New Roman"/>
          <w:sz w:val="24"/>
          <w:szCs w:val="24"/>
        </w:rPr>
      </w:pPr>
      <w:r w:rsidRPr="00361A89">
        <w:rPr>
          <w:rFonts w:ascii="Times New Roman" w:hAnsi="Times New Roman" w:cs="Times New Roman"/>
          <w:sz w:val="24"/>
          <w:szCs w:val="24"/>
        </w:rPr>
        <w:t xml:space="preserve">If I was in that challenger meeting I would have made sure that the framing of the conversation was not changed subtly the night before the launch. This is because the implicit question the participants’ were trying to launch the meeting proceeded got reframed. The wrong outcome of the conversation was therefore produced. I would have made sure that the wrong outcome was not produced and this would have prevented the death of the seven people.  “I could have asked them to prove to me why we should launch since by the end of the meeting the </w:t>
      </w:r>
      <w:r w:rsidRPr="00361A89">
        <w:rPr>
          <w:rFonts w:ascii="Times New Roman" w:hAnsi="Times New Roman" w:cs="Times New Roman"/>
          <w:sz w:val="24"/>
          <w:szCs w:val="24"/>
        </w:rPr>
        <w:lastRenderedPageBreak/>
        <w:t>question that was being answered was proving that we shouldn’t launch.” (</w:t>
      </w:r>
      <w:proofErr w:type="spellStart"/>
      <w:r w:rsidRPr="00361A89">
        <w:rPr>
          <w:rFonts w:ascii="Times New Roman" w:hAnsi="Times New Roman" w:cs="Times New Roman"/>
          <w:sz w:val="24"/>
          <w:szCs w:val="24"/>
        </w:rPr>
        <w:t>Lewicki</w:t>
      </w:r>
      <w:proofErr w:type="spellEnd"/>
      <w:r w:rsidRPr="00361A89">
        <w:rPr>
          <w:rFonts w:ascii="Times New Roman" w:hAnsi="Times New Roman" w:cs="Times New Roman"/>
          <w:sz w:val="24"/>
          <w:szCs w:val="24"/>
        </w:rPr>
        <w:t>, Saunders, Barry, 2015)</w:t>
      </w:r>
    </w:p>
    <w:p w:rsidR="00361A89" w:rsidRDefault="00361A89"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Default="00610A96" w:rsidP="00361A89">
      <w:pPr>
        <w:spacing w:before="100" w:beforeAutospacing="1" w:after="100" w:afterAutospacing="1" w:line="480" w:lineRule="auto"/>
        <w:rPr>
          <w:rFonts w:ascii="Times New Roman" w:hAnsi="Times New Roman" w:cs="Times New Roman"/>
          <w:sz w:val="24"/>
          <w:szCs w:val="24"/>
        </w:rPr>
      </w:pPr>
    </w:p>
    <w:p w:rsidR="00610A96" w:rsidRPr="00361A89" w:rsidRDefault="00610A96" w:rsidP="00361A89">
      <w:pPr>
        <w:spacing w:before="100" w:beforeAutospacing="1" w:after="100" w:afterAutospacing="1" w:line="480" w:lineRule="auto"/>
        <w:rPr>
          <w:rFonts w:ascii="Times New Roman" w:hAnsi="Times New Roman" w:cs="Times New Roman"/>
          <w:sz w:val="24"/>
          <w:szCs w:val="24"/>
        </w:rPr>
      </w:pPr>
    </w:p>
    <w:p w:rsidR="00361A89" w:rsidRPr="00361A89" w:rsidRDefault="00361A89" w:rsidP="00361A89">
      <w:pPr>
        <w:spacing w:before="100" w:beforeAutospacing="1" w:after="100" w:afterAutospacing="1" w:line="480" w:lineRule="auto"/>
        <w:jc w:val="center"/>
        <w:rPr>
          <w:rFonts w:ascii="Times New Roman" w:hAnsi="Times New Roman" w:cs="Times New Roman"/>
          <w:sz w:val="24"/>
          <w:szCs w:val="24"/>
        </w:rPr>
      </w:pPr>
      <w:r w:rsidRPr="00361A89">
        <w:rPr>
          <w:rFonts w:ascii="Times New Roman" w:hAnsi="Times New Roman" w:cs="Times New Roman"/>
          <w:sz w:val="24"/>
          <w:szCs w:val="24"/>
        </w:rPr>
        <w:lastRenderedPageBreak/>
        <w:t>References</w:t>
      </w:r>
    </w:p>
    <w:p w:rsidR="00361A89" w:rsidRPr="00361A89" w:rsidRDefault="00361A89" w:rsidP="00361A8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361A89">
        <w:rPr>
          <w:rFonts w:ascii="Times New Roman" w:eastAsia="Arial Unicode MS" w:hAnsi="Times New Roman" w:cs="Times New Roman"/>
          <w:color w:val="000000"/>
          <w:sz w:val="24"/>
          <w:szCs w:val="24"/>
          <w:shd w:val="clear" w:color="auto" w:fill="FFFFFF"/>
        </w:rPr>
        <w:t>Lewicki</w:t>
      </w:r>
      <w:proofErr w:type="spellEnd"/>
      <w:r w:rsidRPr="00361A89">
        <w:rPr>
          <w:rFonts w:ascii="Times New Roman" w:eastAsia="Arial Unicode MS" w:hAnsi="Times New Roman" w:cs="Times New Roman"/>
          <w:color w:val="000000"/>
          <w:sz w:val="24"/>
          <w:szCs w:val="24"/>
          <w:shd w:val="clear" w:color="auto" w:fill="FFFFFF"/>
        </w:rPr>
        <w:t>, R. J., Barry, B., &amp; Saunders, D. M. (2014). </w:t>
      </w:r>
      <w:r w:rsidRPr="00361A89">
        <w:rPr>
          <w:rFonts w:ascii="Times New Roman" w:eastAsia="Arial Unicode MS" w:hAnsi="Times New Roman" w:cs="Times New Roman"/>
          <w:i/>
          <w:iCs/>
          <w:color w:val="000000"/>
          <w:sz w:val="24"/>
          <w:szCs w:val="24"/>
          <w:shd w:val="clear" w:color="auto" w:fill="FFFFFF"/>
        </w:rPr>
        <w:t xml:space="preserve">Negotiation: Readings, Exercises </w:t>
      </w:r>
      <w:proofErr w:type="gramStart"/>
      <w:r w:rsidRPr="00361A89">
        <w:rPr>
          <w:rFonts w:ascii="Times New Roman" w:eastAsia="Arial Unicode MS" w:hAnsi="Times New Roman" w:cs="Times New Roman"/>
          <w:i/>
          <w:iCs/>
          <w:color w:val="000000"/>
          <w:sz w:val="24"/>
          <w:szCs w:val="24"/>
          <w:shd w:val="clear" w:color="auto" w:fill="FFFFFF"/>
        </w:rPr>
        <w:t>And</w:t>
      </w:r>
      <w:proofErr w:type="gramEnd"/>
      <w:r w:rsidRPr="00361A89">
        <w:rPr>
          <w:rFonts w:ascii="Times New Roman" w:eastAsia="Arial Unicode MS" w:hAnsi="Times New Roman" w:cs="Times New Roman"/>
          <w:i/>
          <w:iCs/>
          <w:color w:val="000000"/>
          <w:sz w:val="24"/>
          <w:szCs w:val="24"/>
          <w:shd w:val="clear" w:color="auto" w:fill="FFFFFF"/>
        </w:rPr>
        <w:t xml:space="preserve"> Cases</w:t>
      </w:r>
      <w:r w:rsidRPr="00361A89">
        <w:rPr>
          <w:rFonts w:ascii="Times New Roman" w:eastAsia="Arial Unicode MS" w:hAnsi="Times New Roman" w:cs="Times New Roman"/>
          <w:color w:val="000000"/>
          <w:sz w:val="24"/>
          <w:szCs w:val="24"/>
          <w:shd w:val="clear" w:color="auto" w:fill="FFFFFF"/>
        </w:rPr>
        <w:t>. New York: McGraw-Hill Education.</w:t>
      </w:r>
    </w:p>
    <w:p w:rsidR="00361A89" w:rsidRPr="00361A89" w:rsidRDefault="00361A89" w:rsidP="00361A89">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361A89">
        <w:rPr>
          <w:rFonts w:ascii="Times New Roman" w:eastAsia="Arial Unicode MS" w:hAnsi="Times New Roman" w:cs="Times New Roman"/>
          <w:color w:val="000000"/>
          <w:sz w:val="24"/>
          <w:szCs w:val="24"/>
          <w:shd w:val="clear" w:color="auto" w:fill="FFFFFF"/>
        </w:rPr>
        <w:t>Lewicki</w:t>
      </w:r>
      <w:proofErr w:type="spellEnd"/>
      <w:r w:rsidRPr="00361A89">
        <w:rPr>
          <w:rFonts w:ascii="Times New Roman" w:eastAsia="Arial Unicode MS" w:hAnsi="Times New Roman" w:cs="Times New Roman"/>
          <w:color w:val="000000"/>
          <w:sz w:val="24"/>
          <w:szCs w:val="24"/>
          <w:shd w:val="clear" w:color="auto" w:fill="FFFFFF"/>
        </w:rPr>
        <w:t>, R. J., Saunders, D. M., &amp; Barry, B. (2015). </w:t>
      </w:r>
      <w:r w:rsidRPr="00361A89">
        <w:rPr>
          <w:rFonts w:ascii="Times New Roman" w:eastAsia="Arial Unicode MS" w:hAnsi="Times New Roman" w:cs="Times New Roman"/>
          <w:i/>
          <w:iCs/>
          <w:color w:val="000000"/>
          <w:sz w:val="24"/>
          <w:szCs w:val="24"/>
          <w:shd w:val="clear" w:color="auto" w:fill="FFFFFF"/>
        </w:rPr>
        <w:t>Negotiation</w:t>
      </w:r>
      <w:r w:rsidRPr="00361A89">
        <w:rPr>
          <w:rFonts w:ascii="Times New Roman" w:eastAsia="Arial Unicode MS" w:hAnsi="Times New Roman" w:cs="Times New Roman"/>
          <w:color w:val="000000"/>
          <w:sz w:val="24"/>
          <w:szCs w:val="24"/>
          <w:shd w:val="clear" w:color="auto" w:fill="FFFFFF"/>
        </w:rPr>
        <w:t>.</w:t>
      </w:r>
    </w:p>
    <w:p w:rsidR="00361A89" w:rsidRPr="00361A89" w:rsidRDefault="00361A89" w:rsidP="00361A89">
      <w:pPr>
        <w:spacing w:before="100" w:beforeAutospacing="1" w:after="100" w:afterAutospacing="1" w:line="480" w:lineRule="auto"/>
        <w:rPr>
          <w:rFonts w:ascii="Times New Roman" w:hAnsi="Times New Roman" w:cs="Times New Roman"/>
          <w:sz w:val="24"/>
          <w:szCs w:val="24"/>
        </w:rPr>
      </w:pPr>
      <w:proofErr w:type="spellStart"/>
      <w:r w:rsidRPr="00361A89">
        <w:rPr>
          <w:rFonts w:ascii="Times New Roman" w:eastAsia="Arial Unicode MS" w:hAnsi="Times New Roman" w:cs="Times New Roman"/>
          <w:color w:val="000000"/>
          <w:sz w:val="24"/>
          <w:szCs w:val="24"/>
          <w:shd w:val="clear" w:color="auto" w:fill="FFFFFF"/>
        </w:rPr>
        <w:t>Lewicki</w:t>
      </w:r>
      <w:proofErr w:type="spellEnd"/>
      <w:r w:rsidRPr="00361A89">
        <w:rPr>
          <w:rFonts w:ascii="Times New Roman" w:eastAsia="Arial Unicode MS" w:hAnsi="Times New Roman" w:cs="Times New Roman"/>
          <w:color w:val="000000"/>
          <w:sz w:val="24"/>
          <w:szCs w:val="24"/>
          <w:shd w:val="clear" w:color="auto" w:fill="FFFFFF"/>
        </w:rPr>
        <w:t>, R. (2015). </w:t>
      </w:r>
      <w:r w:rsidRPr="00361A89">
        <w:rPr>
          <w:rFonts w:ascii="Times New Roman" w:eastAsia="Arial Unicode MS" w:hAnsi="Times New Roman" w:cs="Times New Roman"/>
          <w:i/>
          <w:iCs/>
          <w:color w:val="000000"/>
          <w:sz w:val="24"/>
          <w:szCs w:val="24"/>
          <w:shd w:val="clear" w:color="auto" w:fill="FFFFFF"/>
        </w:rPr>
        <w:t>Essentials of negotiation</w:t>
      </w:r>
      <w:r w:rsidRPr="00361A89">
        <w:rPr>
          <w:rFonts w:ascii="Times New Roman" w:eastAsia="Arial Unicode MS" w:hAnsi="Times New Roman" w:cs="Times New Roman"/>
          <w:color w:val="000000"/>
          <w:sz w:val="24"/>
          <w:szCs w:val="24"/>
          <w:shd w:val="clear" w:color="auto" w:fill="FFFFFF"/>
        </w:rPr>
        <w:t xml:space="preserve">. Place of publication not identified: Irwin </w:t>
      </w:r>
      <w:proofErr w:type="spellStart"/>
      <w:r w:rsidRPr="00361A89">
        <w:rPr>
          <w:rFonts w:ascii="Times New Roman" w:eastAsia="Arial Unicode MS" w:hAnsi="Times New Roman" w:cs="Times New Roman"/>
          <w:color w:val="000000"/>
          <w:sz w:val="24"/>
          <w:szCs w:val="24"/>
          <w:shd w:val="clear" w:color="auto" w:fill="FFFFFF"/>
        </w:rPr>
        <w:t>Mcgraw-Hill</w:t>
      </w:r>
      <w:proofErr w:type="spellEnd"/>
      <w:r w:rsidRPr="00361A89">
        <w:rPr>
          <w:rFonts w:ascii="Times New Roman" w:eastAsia="Arial Unicode MS" w:hAnsi="Times New Roman" w:cs="Times New Roman"/>
          <w:color w:val="000000"/>
          <w:sz w:val="24"/>
          <w:szCs w:val="24"/>
          <w:shd w:val="clear" w:color="auto" w:fill="FFFFFF"/>
        </w:rPr>
        <w:t>.</w:t>
      </w:r>
    </w:p>
    <w:sectPr w:rsidR="00361A89" w:rsidRPr="00361A89" w:rsidSect="00361A89">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32D" w:rsidRDefault="000E632D" w:rsidP="00361A89">
      <w:pPr>
        <w:spacing w:after="0" w:line="240" w:lineRule="auto"/>
      </w:pPr>
      <w:r>
        <w:separator/>
      </w:r>
    </w:p>
  </w:endnote>
  <w:endnote w:type="continuationSeparator" w:id="0">
    <w:p w:rsidR="000E632D" w:rsidRDefault="000E632D" w:rsidP="00361A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32D" w:rsidRDefault="000E632D" w:rsidP="00361A89">
      <w:pPr>
        <w:spacing w:after="0" w:line="240" w:lineRule="auto"/>
      </w:pPr>
      <w:r>
        <w:separator/>
      </w:r>
    </w:p>
  </w:footnote>
  <w:footnote w:type="continuationSeparator" w:id="0">
    <w:p w:rsidR="000E632D" w:rsidRDefault="000E632D" w:rsidP="00361A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A89" w:rsidRPr="00361A89" w:rsidRDefault="00361A89">
    <w:pPr>
      <w:pStyle w:val="Header"/>
      <w:jc w:val="right"/>
      <w:rPr>
        <w:rFonts w:ascii="Times New Roman" w:hAnsi="Times New Roman" w:cs="Times New Roman"/>
        <w:sz w:val="24"/>
        <w:szCs w:val="24"/>
      </w:rPr>
    </w:pPr>
    <w:r w:rsidRPr="00361A89">
      <w:rPr>
        <w:rFonts w:ascii="Times New Roman" w:hAnsi="Times New Roman" w:cs="Times New Roman"/>
        <w:sz w:val="24"/>
        <w:szCs w:val="24"/>
      </w:rPr>
      <w:t>MULTI PARTY</w:t>
    </w:r>
    <w:r w:rsidRPr="00361A89">
      <w:rPr>
        <w:rFonts w:ascii="Times New Roman" w:hAnsi="Times New Roman" w:cs="Times New Roman"/>
        <w:sz w:val="24"/>
        <w:szCs w:val="24"/>
      </w:rPr>
      <w:tab/>
    </w:r>
    <w:r w:rsidRPr="00361A89">
      <w:rPr>
        <w:rFonts w:ascii="Times New Roman" w:hAnsi="Times New Roman" w:cs="Times New Roman"/>
        <w:sz w:val="24"/>
        <w:szCs w:val="24"/>
      </w:rPr>
      <w:tab/>
    </w:r>
    <w:sdt>
      <w:sdtPr>
        <w:rPr>
          <w:rFonts w:ascii="Times New Roman" w:hAnsi="Times New Roman" w:cs="Times New Roman"/>
          <w:sz w:val="24"/>
          <w:szCs w:val="24"/>
        </w:rPr>
        <w:id w:val="-347410791"/>
        <w:docPartObj>
          <w:docPartGallery w:val="Page Numbers (Top of Page)"/>
          <w:docPartUnique/>
        </w:docPartObj>
      </w:sdtPr>
      <w:sdtEndPr>
        <w:rPr>
          <w:noProof/>
        </w:rPr>
      </w:sdtEndPr>
      <w:sdtContent>
        <w:r w:rsidRPr="00361A89">
          <w:rPr>
            <w:rFonts w:ascii="Times New Roman" w:hAnsi="Times New Roman" w:cs="Times New Roman"/>
            <w:sz w:val="24"/>
            <w:szCs w:val="24"/>
          </w:rPr>
          <w:fldChar w:fldCharType="begin"/>
        </w:r>
        <w:r w:rsidRPr="00361A89">
          <w:rPr>
            <w:rFonts w:ascii="Times New Roman" w:hAnsi="Times New Roman" w:cs="Times New Roman"/>
            <w:sz w:val="24"/>
            <w:szCs w:val="24"/>
          </w:rPr>
          <w:instrText xml:space="preserve"> PAGE   \* MERGEFORMAT </w:instrText>
        </w:r>
        <w:r w:rsidRPr="00361A89">
          <w:rPr>
            <w:rFonts w:ascii="Times New Roman" w:hAnsi="Times New Roman" w:cs="Times New Roman"/>
            <w:sz w:val="24"/>
            <w:szCs w:val="24"/>
          </w:rPr>
          <w:fldChar w:fldCharType="separate"/>
        </w:r>
        <w:r w:rsidR="0078291F">
          <w:rPr>
            <w:rFonts w:ascii="Times New Roman" w:hAnsi="Times New Roman" w:cs="Times New Roman"/>
            <w:noProof/>
            <w:sz w:val="24"/>
            <w:szCs w:val="24"/>
          </w:rPr>
          <w:t>4</w:t>
        </w:r>
        <w:r w:rsidRPr="00361A89">
          <w:rPr>
            <w:rFonts w:ascii="Times New Roman" w:hAnsi="Times New Roman" w:cs="Times New Roman"/>
            <w:noProof/>
            <w:sz w:val="24"/>
            <w:szCs w:val="24"/>
          </w:rPr>
          <w:fldChar w:fldCharType="end"/>
        </w:r>
      </w:sdtContent>
    </w:sdt>
  </w:p>
  <w:p w:rsidR="00361A89" w:rsidRPr="00361A89" w:rsidRDefault="00361A8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A89" w:rsidRPr="00361A89" w:rsidRDefault="00361A89">
    <w:pPr>
      <w:pStyle w:val="Header"/>
      <w:jc w:val="right"/>
      <w:rPr>
        <w:rFonts w:ascii="Times New Roman" w:hAnsi="Times New Roman" w:cs="Times New Roman"/>
        <w:sz w:val="24"/>
        <w:szCs w:val="24"/>
      </w:rPr>
    </w:pPr>
    <w:r w:rsidRPr="00361A89">
      <w:rPr>
        <w:rFonts w:ascii="Times New Roman" w:hAnsi="Times New Roman" w:cs="Times New Roman"/>
        <w:sz w:val="24"/>
        <w:szCs w:val="24"/>
      </w:rPr>
      <w:t>Running Head: MULTI PARTY</w:t>
    </w:r>
    <w:r w:rsidRPr="00361A89">
      <w:rPr>
        <w:rFonts w:ascii="Times New Roman" w:hAnsi="Times New Roman" w:cs="Times New Roman"/>
        <w:sz w:val="24"/>
        <w:szCs w:val="24"/>
      </w:rPr>
      <w:tab/>
    </w:r>
    <w:r w:rsidRPr="00361A89">
      <w:rPr>
        <w:rFonts w:ascii="Times New Roman" w:hAnsi="Times New Roman" w:cs="Times New Roman"/>
        <w:sz w:val="24"/>
        <w:szCs w:val="24"/>
      </w:rPr>
      <w:tab/>
    </w:r>
    <w:sdt>
      <w:sdtPr>
        <w:rPr>
          <w:rFonts w:ascii="Times New Roman" w:hAnsi="Times New Roman" w:cs="Times New Roman"/>
          <w:sz w:val="24"/>
          <w:szCs w:val="24"/>
        </w:rPr>
        <w:id w:val="-768852587"/>
        <w:docPartObj>
          <w:docPartGallery w:val="Page Numbers (Top of Page)"/>
          <w:docPartUnique/>
        </w:docPartObj>
      </w:sdtPr>
      <w:sdtEndPr>
        <w:rPr>
          <w:noProof/>
        </w:rPr>
      </w:sdtEndPr>
      <w:sdtContent>
        <w:r w:rsidRPr="00361A89">
          <w:rPr>
            <w:rFonts w:ascii="Times New Roman" w:hAnsi="Times New Roman" w:cs="Times New Roman"/>
            <w:sz w:val="24"/>
            <w:szCs w:val="24"/>
          </w:rPr>
          <w:fldChar w:fldCharType="begin"/>
        </w:r>
        <w:r w:rsidRPr="00361A89">
          <w:rPr>
            <w:rFonts w:ascii="Times New Roman" w:hAnsi="Times New Roman" w:cs="Times New Roman"/>
            <w:sz w:val="24"/>
            <w:szCs w:val="24"/>
          </w:rPr>
          <w:instrText xml:space="preserve"> PAGE   \* MERGEFORMAT </w:instrText>
        </w:r>
        <w:r w:rsidRPr="00361A89">
          <w:rPr>
            <w:rFonts w:ascii="Times New Roman" w:hAnsi="Times New Roman" w:cs="Times New Roman"/>
            <w:sz w:val="24"/>
            <w:szCs w:val="24"/>
          </w:rPr>
          <w:fldChar w:fldCharType="separate"/>
        </w:r>
        <w:r w:rsidR="000257B0">
          <w:rPr>
            <w:rFonts w:ascii="Times New Roman" w:hAnsi="Times New Roman" w:cs="Times New Roman"/>
            <w:noProof/>
            <w:sz w:val="24"/>
            <w:szCs w:val="24"/>
          </w:rPr>
          <w:t>1</w:t>
        </w:r>
        <w:r w:rsidRPr="00361A89">
          <w:rPr>
            <w:rFonts w:ascii="Times New Roman" w:hAnsi="Times New Roman" w:cs="Times New Roman"/>
            <w:noProof/>
            <w:sz w:val="24"/>
            <w:szCs w:val="24"/>
          </w:rPr>
          <w:fldChar w:fldCharType="end"/>
        </w:r>
      </w:sdtContent>
    </w:sdt>
  </w:p>
  <w:p w:rsidR="00361A89" w:rsidRPr="00361A89" w:rsidRDefault="00361A8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E39"/>
    <w:rsid w:val="000257B0"/>
    <w:rsid w:val="00052B5F"/>
    <w:rsid w:val="000E632D"/>
    <w:rsid w:val="00102B33"/>
    <w:rsid w:val="00184242"/>
    <w:rsid w:val="001C00B6"/>
    <w:rsid w:val="002019F0"/>
    <w:rsid w:val="00361A89"/>
    <w:rsid w:val="0055047A"/>
    <w:rsid w:val="005B1B5F"/>
    <w:rsid w:val="00610A96"/>
    <w:rsid w:val="006734AA"/>
    <w:rsid w:val="006917DF"/>
    <w:rsid w:val="00713726"/>
    <w:rsid w:val="00754E39"/>
    <w:rsid w:val="0078291F"/>
    <w:rsid w:val="007A09ED"/>
    <w:rsid w:val="007F6965"/>
    <w:rsid w:val="00851C2A"/>
    <w:rsid w:val="009C58A6"/>
    <w:rsid w:val="00A3055D"/>
    <w:rsid w:val="00AF78D7"/>
    <w:rsid w:val="00B04762"/>
    <w:rsid w:val="00B52D3D"/>
    <w:rsid w:val="00C87EA2"/>
    <w:rsid w:val="00CC2D64"/>
    <w:rsid w:val="00DE4CB0"/>
    <w:rsid w:val="00F12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08028B-788F-4C75-9E3A-38C6224CE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A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A89"/>
  </w:style>
  <w:style w:type="paragraph" w:styleId="Footer">
    <w:name w:val="footer"/>
    <w:basedOn w:val="Normal"/>
    <w:link w:val="FooterChar"/>
    <w:uiPriority w:val="99"/>
    <w:unhideWhenUsed/>
    <w:rsid w:val="00361A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934</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4</cp:revision>
  <dcterms:created xsi:type="dcterms:W3CDTF">2018-03-18T11:24:00Z</dcterms:created>
  <dcterms:modified xsi:type="dcterms:W3CDTF">2018-03-18T12:25:00Z</dcterms:modified>
</cp:coreProperties>
</file>